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9D0C6" w14:textId="77777777" w:rsidR="00544DB2" w:rsidRDefault="00000000">
      <w:pPr>
        <w:spacing w:before="80" w:after="60" w:line="276" w:lineRule="auto"/>
      </w:pPr>
      <w:r>
        <w:rPr>
          <w:b/>
          <w:bCs/>
          <w:color w:val="1F3864"/>
          <w:sz w:val="36"/>
          <w:szCs w:val="36"/>
        </w:rPr>
        <w:t>MANUALE D’USO</w:t>
      </w:r>
    </w:p>
    <w:p w14:paraId="272AEBF6" w14:textId="77777777" w:rsidR="00544DB2" w:rsidRDefault="00000000">
      <w:pPr>
        <w:spacing w:after="40" w:line="276" w:lineRule="auto"/>
      </w:pPr>
      <w:r>
        <w:rPr>
          <w:color w:val="555555"/>
          <w:sz w:val="24"/>
          <w:szCs w:val="24"/>
        </w:rPr>
        <w:t>Centralina semaforica a 2-3-4 vie «DB SYNC-4»</w:t>
      </w:r>
    </w:p>
    <w:p w14:paraId="34AB0067" w14:textId="77777777" w:rsidR="00544DB2" w:rsidRDefault="00000000">
      <w:pPr>
        <w:spacing w:after="240" w:line="276" w:lineRule="auto"/>
      </w:pPr>
      <w:r>
        <w:rPr>
          <w:color w:val="555555"/>
          <w:sz w:val="20"/>
          <w:szCs w:val="20"/>
        </w:rPr>
        <w:t>Senso unico alternato · incrocio a T · incrocio a 4 accessi – programmazione via telecomando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2340"/>
        <w:gridCol w:w="2340"/>
      </w:tblGrid>
      <w:tr w:rsidR="00544DB2" w14:paraId="04D6624D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2F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F3B4690" w14:textId="77777777" w:rsidR="00544DB2" w:rsidRDefault="00000000">
            <w:pPr>
              <w:spacing w:line="264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>Codice documento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2F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00EBF4E" w14:textId="77777777" w:rsidR="00544DB2" w:rsidRDefault="00000000">
            <w:pPr>
              <w:spacing w:line="264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>Revisione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2F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0CDE7A2" w14:textId="77777777" w:rsidR="00544DB2" w:rsidRDefault="00000000">
            <w:pPr>
              <w:spacing w:line="264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>Data di emissione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2F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63BF297" w14:textId="77777777" w:rsidR="00544DB2" w:rsidRDefault="00000000">
            <w:pPr>
              <w:spacing w:line="264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>Prodotto</w:t>
            </w:r>
          </w:p>
        </w:tc>
      </w:tr>
      <w:tr w:rsidR="00544DB2" w14:paraId="5FFD88C9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F85D67A" w14:textId="77777777" w:rsidR="00544DB2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MU-DB984SE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C81CA22" w14:textId="77777777" w:rsidR="00544DB2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A343C96" w14:textId="77777777" w:rsidR="00544DB2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30/06/2026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1053636" w14:textId="2C3C893B" w:rsidR="00544DB2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DB</w:t>
            </w:r>
            <w:r w:rsidR="001F1C33">
              <w:rPr>
                <w:sz w:val="20"/>
                <w:szCs w:val="20"/>
              </w:rPr>
              <w:t>831</w:t>
            </w:r>
            <w:r>
              <w:rPr>
                <w:sz w:val="20"/>
                <w:szCs w:val="20"/>
              </w:rPr>
              <w:t>SE</w:t>
            </w:r>
          </w:p>
        </w:tc>
      </w:tr>
    </w:tbl>
    <w:p w14:paraId="1C7578B0" w14:textId="77777777" w:rsidR="00544DB2" w:rsidRDefault="00544DB2">
      <w:pPr>
        <w:spacing w:after="120" w:line="276" w:lineRule="auto"/>
      </w:pPr>
    </w:p>
    <w:p w14:paraId="61A3C077" w14:textId="77777777" w:rsidR="00544DB2" w:rsidRDefault="00000000">
      <w:pPr>
        <w:pStyle w:val="Titolo1"/>
      </w:pPr>
      <w:r>
        <w:t>1. Introduzione</w:t>
      </w:r>
    </w:p>
    <w:p w14:paraId="621B8ED6" w14:textId="77777777" w:rsidR="00544DB2" w:rsidRDefault="00000000">
      <w:pPr>
        <w:spacing w:after="120" w:line="276" w:lineRule="auto"/>
      </w:pPr>
      <w:r>
        <w:t>DB SYNC-4 è una centralina semaforica a controllo al quarzo per la regolazione del traffico nei cantieri: senso unico alternato, incrocio a T (sbocco) e incrocio a 4 accessi. La programmazione avviene in modo rapido, senza conoscenze particolari, tramite un telecomando a infrarossi che guida l’operatore attraverso il menu.</w:t>
      </w:r>
    </w:p>
    <w:p w14:paraId="5643A060" w14:textId="77777777" w:rsidR="00544DB2" w:rsidRDefault="00000000">
      <w:pPr>
        <w:spacing w:after="120" w:line="276" w:lineRule="auto"/>
      </w:pPr>
      <w:r>
        <w:rPr>
          <w:color w:val="555555"/>
          <w:sz w:val="20"/>
          <w:szCs w:val="20"/>
        </w:rPr>
        <w:t xml:space="preserve">Le durate del rosso e del verde possono essere impostate per ogni semaforo in modo indipendente e al secondo, rendendo l’impianto molto versatile. Prodotto conforme CE e </w:t>
      </w:r>
      <w:proofErr w:type="spellStart"/>
      <w:r>
        <w:rPr>
          <w:color w:val="555555"/>
          <w:sz w:val="20"/>
          <w:szCs w:val="20"/>
        </w:rPr>
        <w:t>RoHS</w:t>
      </w:r>
      <w:proofErr w:type="spellEnd"/>
      <w:r>
        <w:rPr>
          <w:color w:val="555555"/>
          <w:sz w:val="20"/>
          <w:szCs w:val="20"/>
        </w:rPr>
        <w:t>.</w:t>
      </w:r>
    </w:p>
    <w:p w14:paraId="7B6C6DA5" w14:textId="77777777" w:rsidR="00544DB2" w:rsidRDefault="00000000">
      <w:pPr>
        <w:pStyle w:val="Titolo1"/>
      </w:pPr>
      <w:r>
        <w:t>2. Telecomando di programmazione – funzione dei tasti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7660"/>
      </w:tblGrid>
      <w:tr w:rsidR="00544DB2" w14:paraId="4FEDD10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2F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9B74CEE" w14:textId="77777777" w:rsidR="00544DB2" w:rsidRDefault="00000000">
            <w:pPr>
              <w:spacing w:line="264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>Tasto</w:t>
            </w:r>
          </w:p>
        </w:tc>
        <w:tc>
          <w:tcPr>
            <w:tcW w:w="7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2F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80EEED9" w14:textId="77777777" w:rsidR="00544DB2" w:rsidRDefault="00000000">
            <w:pPr>
              <w:spacing w:line="264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>Funzione</w:t>
            </w:r>
          </w:p>
        </w:tc>
      </w:tr>
      <w:tr w:rsidR="00544DB2" w14:paraId="6C216906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177C27E" w14:textId="77777777" w:rsidR="00544DB2" w:rsidRDefault="00000000">
            <w:pPr>
              <w:spacing w:line="264" w:lineRule="auto"/>
            </w:pPr>
            <w:r>
              <w:rPr>
                <w:b/>
                <w:bCs/>
                <w:sz w:val="20"/>
                <w:szCs w:val="20"/>
              </w:rPr>
              <w:t>ON</w:t>
            </w:r>
          </w:p>
        </w:tc>
        <w:tc>
          <w:tcPr>
            <w:tcW w:w="7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A6D3F48" w14:textId="77777777" w:rsidR="00544DB2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Accende il telecomando; tenuto premuto 2 secondi attiva la retroilluminazione del display. È anche il tasto di avvio e per le funzioni speciali.</w:t>
            </w:r>
          </w:p>
        </w:tc>
      </w:tr>
      <w:tr w:rsidR="00544DB2" w14:paraId="35418537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8C6EA0A" w14:textId="77777777" w:rsidR="00544DB2" w:rsidRDefault="00000000">
            <w:pPr>
              <w:spacing w:line="264" w:lineRule="auto"/>
            </w:pPr>
            <w:r>
              <w:rPr>
                <w:rFonts w:ascii="Consolas" w:eastAsia="Consolas" w:hAnsi="Consolas" w:cs="Consola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6FB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20D59F9" w14:textId="77777777" w:rsidR="00544DB2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Sposta a sinistra nel menu oppure riduce i valori.</w:t>
            </w:r>
          </w:p>
        </w:tc>
      </w:tr>
      <w:tr w:rsidR="00544DB2" w14:paraId="0C18D81B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DA06E11" w14:textId="77777777" w:rsidR="00544DB2" w:rsidRDefault="00000000">
            <w:pPr>
              <w:spacing w:line="264" w:lineRule="auto"/>
            </w:pPr>
            <w:r>
              <w:rPr>
                <w:rFonts w:ascii="Consolas" w:eastAsia="Consolas" w:hAnsi="Consolas" w:cs="Consolas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EAB48E8" w14:textId="77777777" w:rsidR="00544DB2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Sposta a destra nel menu oppure aumenta i valori.</w:t>
            </w:r>
          </w:p>
        </w:tc>
      </w:tr>
      <w:tr w:rsidR="00544DB2" w14:paraId="32CFECC3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02745F9" w14:textId="77777777" w:rsidR="00544DB2" w:rsidRDefault="00000000">
            <w:pPr>
              <w:spacing w:line="264" w:lineRule="auto"/>
            </w:pPr>
            <w:r>
              <w:rPr>
                <w:rFonts w:ascii="Consolas" w:eastAsia="Consolas" w:hAnsi="Consolas" w:cs="Consola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6FB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DB423D7" w14:textId="77777777" w:rsidR="00544DB2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Torna indietro nel menu.</w:t>
            </w:r>
          </w:p>
        </w:tc>
      </w:tr>
      <w:tr w:rsidR="00544DB2" w14:paraId="37736324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DBABFD7" w14:textId="77777777" w:rsidR="00544DB2" w:rsidRDefault="00000000">
            <w:pPr>
              <w:spacing w:line="264" w:lineRule="auto"/>
            </w:pPr>
            <w:r>
              <w:rPr>
                <w:rFonts w:ascii="Consolas" w:eastAsia="Consolas" w:hAnsi="Consolas" w:cs="Consolas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05E947E" w14:textId="77777777" w:rsidR="00544DB2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Avanza nel menu oppure conferma le immissioni.</w:t>
            </w:r>
          </w:p>
        </w:tc>
      </w:tr>
      <w:tr w:rsidR="00544DB2" w14:paraId="4C41549D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0AF2CD9" w14:textId="77777777" w:rsidR="00544DB2" w:rsidRDefault="00000000">
            <w:pPr>
              <w:spacing w:line="264" w:lineRule="auto"/>
            </w:pPr>
            <w:r>
              <w:rPr>
                <w:rFonts w:ascii="Consolas" w:eastAsia="Consolas" w:hAnsi="Consolas" w:cs="Consolas"/>
                <w:b/>
                <w:bCs/>
                <w:sz w:val="20"/>
                <w:szCs w:val="20"/>
              </w:rPr>
              <w:t>Man.</w:t>
            </w:r>
          </w:p>
        </w:tc>
        <w:tc>
          <w:tcPr>
            <w:tcW w:w="7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6FB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B5879B1" w14:textId="77777777" w:rsidR="00544DB2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Attiva l’esercizio manuale.</w:t>
            </w:r>
          </w:p>
        </w:tc>
      </w:tr>
      <w:tr w:rsidR="00544DB2" w14:paraId="238DD3E3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157F8A9" w14:textId="77777777" w:rsidR="00544DB2" w:rsidRDefault="00000000">
            <w:pPr>
              <w:spacing w:line="264" w:lineRule="auto"/>
            </w:pPr>
            <w:r>
              <w:rPr>
                <w:rFonts w:ascii="Consolas" w:eastAsia="Consolas" w:hAnsi="Consolas" w:cs="Consolas"/>
                <w:b/>
                <w:bCs/>
                <w:sz w:val="20"/>
                <w:szCs w:val="20"/>
              </w:rPr>
              <w:t>OK</w:t>
            </w:r>
          </w:p>
        </w:tc>
        <w:tc>
          <w:tcPr>
            <w:tcW w:w="7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6EB14E8" w14:textId="77777777" w:rsidR="00544DB2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Conferma e trasmette i dati al semaforo.</w:t>
            </w:r>
          </w:p>
        </w:tc>
      </w:tr>
    </w:tbl>
    <w:p w14:paraId="13067503" w14:textId="77777777" w:rsidR="00544DB2" w:rsidRDefault="00000000">
      <w:pPr>
        <w:spacing w:before="80" w:after="120" w:line="276" w:lineRule="auto"/>
      </w:pPr>
      <w:r>
        <w:rPr>
          <w:color w:val="555555"/>
          <w:sz w:val="20"/>
          <w:szCs w:val="20"/>
        </w:rPr>
        <w:t>Alimentazione del telecomando: batteria da 9 V. Quando sul display appare «Batt.ve.» (batteria vecchia) procurarsi una batteria alcalina di alta qualità; sostituirla al più tardi quando compare «Batteria scarica».</w:t>
      </w:r>
    </w:p>
    <w:p w14:paraId="79C39F22" w14:textId="77777777" w:rsidR="00544DB2" w:rsidRDefault="00000000">
      <w:pPr>
        <w:pStyle w:val="Titolo1"/>
      </w:pPr>
      <w:r>
        <w:t>3. Impostazione della lingua</w:t>
      </w:r>
    </w:p>
    <w:p w14:paraId="60BCD5E5" w14:textId="77777777" w:rsidR="00544DB2" w:rsidRDefault="00000000">
      <w:pPr>
        <w:spacing w:after="120" w:line="276" w:lineRule="auto"/>
      </w:pPr>
      <w:r>
        <w:t>Con il telecomando spento, premere insieme i tasti «1 + 2 + 4 + ON» e mantenerli premuti per circa 5 secondi, finché non compare il menu di selezione della lingua. Selezionare la lingua con i tasti «1» o «3» e confermare con il tasto «4». (Ulteriori lingue disponibili su richiesta.)</w:t>
      </w:r>
    </w:p>
    <w:p w14:paraId="4766A20F" w14:textId="77777777" w:rsidR="00544DB2" w:rsidRDefault="00000000">
      <w:pPr>
        <w:pStyle w:val="Titolo1"/>
      </w:pPr>
      <w:r>
        <w:t>4. Messa in funzione dell’impianto</w:t>
      </w:r>
    </w:p>
    <w:p w14:paraId="4763FA8E" w14:textId="77777777" w:rsidR="00544DB2" w:rsidRDefault="00000000">
      <w:pPr>
        <w:pStyle w:val="Paragrafoelenco"/>
        <w:numPr>
          <w:ilvl w:val="0"/>
          <w:numId w:val="2"/>
        </w:numPr>
        <w:spacing w:after="80" w:line="272" w:lineRule="auto"/>
      </w:pPr>
      <w:r>
        <w:t>Alimentare ogni semaforo a 12 V DC, collegando le batterie oppure l’alimentatore dedicato nella base del supporto batterie. Rispettare la corretta polarità. I semafori si accendono automaticamente (interruttore on/off elettronico).</w:t>
      </w:r>
    </w:p>
    <w:p w14:paraId="61900302" w14:textId="77777777" w:rsidR="00544DB2" w:rsidRDefault="00000000">
      <w:pPr>
        <w:pStyle w:val="Paragrafoelenco"/>
        <w:numPr>
          <w:ilvl w:val="0"/>
          <w:numId w:val="2"/>
        </w:numPr>
        <w:spacing w:after="80" w:line="272" w:lineRule="auto"/>
      </w:pPr>
      <w:r>
        <w:lastRenderedPageBreak/>
        <w:t>I semafori iniziano a lampeggiare in giallo.</w:t>
      </w:r>
    </w:p>
    <w:p w14:paraId="6CD0535E" w14:textId="77777777" w:rsidR="00544DB2" w:rsidRDefault="00000000">
      <w:pPr>
        <w:pStyle w:val="Paragrafoelenco"/>
        <w:numPr>
          <w:ilvl w:val="0"/>
          <w:numId w:val="2"/>
        </w:numPr>
        <w:spacing w:after="80" w:line="272" w:lineRule="auto"/>
      </w:pPr>
      <w:r>
        <w:t>Se durante la messa in funzione i semafori sono vicini, tenerli ad almeno 3 metri di distanza l’uno dall’altro: questo consente di assegnare in modo univoco i segnali a infrarossi del telecomando a ciascun semaforo.</w:t>
      </w:r>
    </w:p>
    <w:p w14:paraId="0F1B2FB8" w14:textId="77777777" w:rsidR="00544DB2" w:rsidRDefault="00000000">
      <w:pPr>
        <w:pStyle w:val="Titolo1"/>
      </w:pPr>
      <w:r>
        <w:t>5. Programmazione – senso unico alternato</w:t>
      </w:r>
    </w:p>
    <w:p w14:paraId="21024EFB" w14:textId="77777777" w:rsidR="00544DB2" w:rsidRDefault="00000000">
      <w:pPr>
        <w:pStyle w:val="Paragrafoelenco"/>
        <w:numPr>
          <w:ilvl w:val="0"/>
          <w:numId w:val="3"/>
        </w:numPr>
        <w:spacing w:after="80" w:line="272" w:lineRule="auto"/>
      </w:pPr>
      <w:r>
        <w:t>Accendere il telecomando con «ON»; sul display compare il punto di menu «</w:t>
      </w:r>
      <w:proofErr w:type="spellStart"/>
      <w:r>
        <w:t>Selez</w:t>
      </w:r>
      <w:proofErr w:type="spellEnd"/>
      <w:r>
        <w:t>.». Usare «</w:t>
      </w:r>
      <w:proofErr w:type="gramStart"/>
      <w:r>
        <w:t>1»/</w:t>
      </w:r>
      <w:proofErr w:type="gramEnd"/>
      <w:r>
        <w:t>«3» per modificare o selezionare i valori, «2» per tornare indietro, «4» per avanzare/confermare.</w:t>
      </w:r>
    </w:p>
    <w:p w14:paraId="709CC24E" w14:textId="77777777" w:rsidR="00544DB2" w:rsidRDefault="00000000">
      <w:pPr>
        <w:pStyle w:val="Paragrafoelenco"/>
        <w:numPr>
          <w:ilvl w:val="0"/>
          <w:numId w:val="3"/>
        </w:numPr>
        <w:spacing w:after="80" w:line="272" w:lineRule="auto"/>
      </w:pPr>
      <w:r>
        <w:t>Alla prima messa in funzione, verificare con il tasto «2» le impostazioni del Paese per la durata rosso/giallo e giallo; questi valori di base normalmente non vanno più modificati. Tornare quindi su «</w:t>
      </w:r>
      <w:proofErr w:type="spellStart"/>
      <w:r>
        <w:t>Selez</w:t>
      </w:r>
      <w:proofErr w:type="spellEnd"/>
      <w:r>
        <w:t>.».</w:t>
      </w:r>
    </w:p>
    <w:p w14:paraId="48D72358" w14:textId="77777777" w:rsidR="00544DB2" w:rsidRDefault="00000000">
      <w:pPr>
        <w:pStyle w:val="Paragrafoelenco"/>
        <w:numPr>
          <w:ilvl w:val="0"/>
          <w:numId w:val="3"/>
        </w:numPr>
        <w:spacing w:after="80" w:line="272" w:lineRule="auto"/>
      </w:pPr>
      <w:r>
        <w:t>Selezionare con «</w:t>
      </w:r>
      <w:proofErr w:type="gramStart"/>
      <w:r>
        <w:t>1»/</w:t>
      </w:r>
      <w:proofErr w:type="gramEnd"/>
      <w:r>
        <w:t>«3» la regolazione «</w:t>
      </w:r>
      <w:proofErr w:type="spellStart"/>
      <w:r>
        <w:t>Monodir</w:t>
      </w:r>
      <w:proofErr w:type="spellEnd"/>
      <w:r>
        <w:t>.» (senso unico) e confermare con «4».</w:t>
      </w:r>
    </w:p>
    <w:p w14:paraId="0073CE4D" w14:textId="77777777" w:rsidR="00544DB2" w:rsidRDefault="00000000">
      <w:pPr>
        <w:pStyle w:val="Paragrafoelenco"/>
        <w:numPr>
          <w:ilvl w:val="0"/>
          <w:numId w:val="3"/>
        </w:numPr>
        <w:spacing w:after="80" w:line="272" w:lineRule="auto"/>
      </w:pPr>
      <w:r>
        <w:t>Impostare la durata di «ROSSO 1» e «ROSSO 2» con «</w:t>
      </w:r>
      <w:proofErr w:type="gramStart"/>
      <w:r>
        <w:t>1»/</w:t>
      </w:r>
      <w:proofErr w:type="gramEnd"/>
      <w:r>
        <w:t>«3». Valore di riferimento: circa 12 secondi di rosso ogni 100 metri di cantiere, considerando una velocità di passaggio di 30 km/h. In pendenza o su terreni impervi si possono impostare ROSSO 1 e ROSSO 2 differenti.</w:t>
      </w:r>
    </w:p>
    <w:p w14:paraId="75BDFF97" w14:textId="77777777" w:rsidR="00544DB2" w:rsidRDefault="00000000">
      <w:pPr>
        <w:pStyle w:val="Paragrafoelenco"/>
        <w:numPr>
          <w:ilvl w:val="0"/>
          <w:numId w:val="3"/>
        </w:numPr>
        <w:spacing w:after="80" w:line="272" w:lineRule="auto"/>
      </w:pPr>
      <w:r>
        <w:t>Impostare «VERDE 1» e «VERDE 2». Indicazioni: traffico ridotto 15–20 s, traffico medio 30–40 s, traffico elevato 50–70 s. Le durate del verde possono essere diverse per ogni direzione. Confermare con «4».</w:t>
      </w:r>
    </w:p>
    <w:p w14:paraId="150336BA" w14:textId="77777777" w:rsidR="00544DB2" w:rsidRDefault="00000000">
      <w:pPr>
        <w:pStyle w:val="Paragrafoelenco"/>
        <w:numPr>
          <w:ilvl w:val="0"/>
          <w:numId w:val="3"/>
        </w:numPr>
        <w:spacing w:after="80" w:line="272" w:lineRule="auto"/>
      </w:pPr>
      <w:r>
        <w:t>Trasmettere i dati al semaforo 1: orientare il fronte del telecomando a circa 1 metro, frontalmente, rispetto alla scatola di comando sotto la camera del verde, quindi premere «OK». Il LED nel comando sfarfalla alla ricezione e il semaforo si avvia.</w:t>
      </w:r>
    </w:p>
    <w:p w14:paraId="375727C1" w14:textId="77777777" w:rsidR="00544DB2" w:rsidRDefault="00000000">
      <w:pPr>
        <w:pStyle w:val="Paragrafoelenco"/>
        <w:numPr>
          <w:ilvl w:val="0"/>
          <w:numId w:val="3"/>
        </w:numPr>
        <w:spacing w:after="80" w:line="272" w:lineRule="auto"/>
      </w:pPr>
      <w:r>
        <w:t xml:space="preserve">Confermare l’avvio con «OK» («In </w:t>
      </w:r>
      <w:proofErr w:type="spellStart"/>
      <w:r>
        <w:t>fnz</w:t>
      </w:r>
      <w:proofErr w:type="spellEnd"/>
      <w:r>
        <w:t>.? Sì OK»); in caso contrario tornare indietro con «2» e riprogrammare. Si hanno fino a 15 minuti per programmare il secondo semaforo.</w:t>
      </w:r>
    </w:p>
    <w:p w14:paraId="259CFB12" w14:textId="77777777" w:rsidR="00544DB2" w:rsidRDefault="00000000">
      <w:pPr>
        <w:pStyle w:val="Paragrafoelenco"/>
        <w:numPr>
          <w:ilvl w:val="0"/>
          <w:numId w:val="3"/>
        </w:numPr>
        <w:spacing w:after="80" w:line="272" w:lineRule="auto"/>
      </w:pPr>
      <w:r>
        <w:t>Programmare il semaforo 2 allo stesso modo e confermarne l’avvio. Disinserire quindi il telecomando: il senso unico alternato è attivo.</w:t>
      </w:r>
    </w:p>
    <w:p w14:paraId="1258A0DB" w14:textId="77777777" w:rsidR="00544DB2" w:rsidRDefault="00000000">
      <w:pPr>
        <w:spacing w:after="120" w:line="276" w:lineRule="auto"/>
      </w:pPr>
      <w:r>
        <w:rPr>
          <w:i/>
          <w:iCs/>
          <w:color w:val="555555"/>
          <w:sz w:val="20"/>
          <w:szCs w:val="20"/>
        </w:rPr>
        <w:t>Se un semaforo non si attiva, ridurre la distanza durante la trasmissione oppure ottimizzare l’angolazione del telecomando rispetto al semaforo.</w:t>
      </w:r>
    </w:p>
    <w:p w14:paraId="6D1FB7B0" w14:textId="77777777" w:rsidR="00544DB2" w:rsidRDefault="00000000">
      <w:pPr>
        <w:pStyle w:val="Titolo1"/>
      </w:pPr>
      <w:r>
        <w:t>6. Programmazione – incrocio a T (sbocco)</w:t>
      </w:r>
    </w:p>
    <w:p w14:paraId="74D6DBBD" w14:textId="77777777" w:rsidR="00544DB2" w:rsidRDefault="00000000">
      <w:pPr>
        <w:pStyle w:val="Paragrafoelenco"/>
        <w:numPr>
          <w:ilvl w:val="0"/>
          <w:numId w:val="4"/>
        </w:numPr>
        <w:spacing w:after="80" w:line="272" w:lineRule="auto"/>
      </w:pPr>
      <w:r>
        <w:t>In «</w:t>
      </w:r>
      <w:proofErr w:type="spellStart"/>
      <w:r>
        <w:t>Selez</w:t>
      </w:r>
      <w:proofErr w:type="spellEnd"/>
      <w:r>
        <w:t>.» scegliere con «</w:t>
      </w:r>
      <w:proofErr w:type="gramStart"/>
      <w:r>
        <w:t>1»/</w:t>
      </w:r>
      <w:proofErr w:type="gramEnd"/>
      <w:r>
        <w:t>«3» la regolazione «Sbocco» e confermare con «4».</w:t>
      </w:r>
    </w:p>
    <w:p w14:paraId="71B8C4CA" w14:textId="77777777" w:rsidR="00544DB2" w:rsidRDefault="00000000">
      <w:pPr>
        <w:pStyle w:val="Paragrafoelenco"/>
        <w:numPr>
          <w:ilvl w:val="0"/>
          <w:numId w:val="4"/>
        </w:numPr>
        <w:spacing w:after="80" w:line="272" w:lineRule="auto"/>
      </w:pPr>
      <w:r>
        <w:t>Impostare le durate del rosso da «ROSSO 1» a «ROSSO 3» e dei verdi da «VERDE 1» a «VERDE 3» con «</w:t>
      </w:r>
      <w:proofErr w:type="gramStart"/>
      <w:r>
        <w:t>1»/</w:t>
      </w:r>
      <w:proofErr w:type="gramEnd"/>
      <w:r>
        <w:t>«3», confermando con «4».</w:t>
      </w:r>
    </w:p>
    <w:p w14:paraId="58625F36" w14:textId="77777777" w:rsidR="00544DB2" w:rsidRDefault="00000000">
      <w:pPr>
        <w:pStyle w:val="Paragrafoelenco"/>
        <w:numPr>
          <w:ilvl w:val="0"/>
          <w:numId w:val="4"/>
        </w:numPr>
        <w:spacing w:after="80" w:line="272" w:lineRule="auto"/>
      </w:pPr>
      <w:r>
        <w:t>Programmare quindi i semafori come descritto al punto 5 (trasmissione con «OK»).</w:t>
      </w:r>
    </w:p>
    <w:p w14:paraId="50EB6EC3" w14:textId="77777777" w:rsidR="00544DB2" w:rsidRDefault="00000000">
      <w:pPr>
        <w:pStyle w:val="Titolo1"/>
      </w:pPr>
      <w:r>
        <w:t>7. Programmazione – incrocio a 4 accessi</w:t>
      </w:r>
    </w:p>
    <w:p w14:paraId="73050800" w14:textId="77777777" w:rsidR="00544DB2" w:rsidRDefault="00000000">
      <w:pPr>
        <w:pStyle w:val="Paragrafoelenco"/>
        <w:numPr>
          <w:ilvl w:val="0"/>
          <w:numId w:val="5"/>
        </w:numPr>
        <w:spacing w:after="80" w:line="272" w:lineRule="auto"/>
      </w:pPr>
      <w:r>
        <w:t>In «</w:t>
      </w:r>
      <w:proofErr w:type="spellStart"/>
      <w:r>
        <w:t>Selez</w:t>
      </w:r>
      <w:proofErr w:type="spellEnd"/>
      <w:r>
        <w:t>.» scegliere «Incrocio» con «</w:t>
      </w:r>
      <w:proofErr w:type="gramStart"/>
      <w:r>
        <w:t>1»/</w:t>
      </w:r>
      <w:proofErr w:type="gramEnd"/>
      <w:r>
        <w:t>«3».</w:t>
      </w:r>
    </w:p>
    <w:p w14:paraId="2310EE0C" w14:textId="77777777" w:rsidR="00544DB2" w:rsidRDefault="00000000">
      <w:pPr>
        <w:pStyle w:val="Paragrafoelenco"/>
        <w:numPr>
          <w:ilvl w:val="0"/>
          <w:numId w:val="5"/>
        </w:numPr>
        <w:spacing w:after="80" w:line="272" w:lineRule="auto"/>
      </w:pPr>
      <w:r>
        <w:t>Impostare i 4 valori del rosso (1–4) e i 4 valori del verde (1–4) con «</w:t>
      </w:r>
      <w:proofErr w:type="gramStart"/>
      <w:r>
        <w:t>1»/</w:t>
      </w:r>
      <w:proofErr w:type="gramEnd"/>
      <w:r>
        <w:t>«3», confermando con «4».</w:t>
      </w:r>
    </w:p>
    <w:p w14:paraId="5B891A8C" w14:textId="77777777" w:rsidR="00544DB2" w:rsidRDefault="00000000">
      <w:pPr>
        <w:pStyle w:val="Paragrafoelenco"/>
        <w:numPr>
          <w:ilvl w:val="0"/>
          <w:numId w:val="5"/>
        </w:numPr>
        <w:spacing w:after="80" w:line="272" w:lineRule="auto"/>
      </w:pPr>
      <w:r>
        <w:lastRenderedPageBreak/>
        <w:t>Programmare quindi i semafori come descritto al punto 5.</w:t>
      </w:r>
    </w:p>
    <w:p w14:paraId="35CC650C" w14:textId="77777777" w:rsidR="00544DB2" w:rsidRDefault="00000000">
      <w:pPr>
        <w:pStyle w:val="Titolo1"/>
      </w:pPr>
      <w:r>
        <w:t>8. Semafori (segnali) paralleli</w:t>
      </w:r>
    </w:p>
    <w:p w14:paraId="7D4D3E52" w14:textId="77777777" w:rsidR="00544DB2" w:rsidRDefault="00000000">
      <w:pPr>
        <w:spacing w:after="120" w:line="276" w:lineRule="auto"/>
      </w:pPr>
      <w:r>
        <w:t>Quando servono ripetitori o due segnali paralleli affacciati, possono essere impiegati semafori paralleli sincronizzati (per senso unico, sbocco o incrocio).</w:t>
      </w:r>
    </w:p>
    <w:p w14:paraId="175CBC23" w14:textId="77777777" w:rsidR="00544DB2" w:rsidRDefault="00000000">
      <w:pPr>
        <w:pStyle w:val="Paragrafoelenco"/>
        <w:numPr>
          <w:ilvl w:val="0"/>
          <w:numId w:val="6"/>
        </w:numPr>
        <w:spacing w:after="80" w:line="272" w:lineRule="auto"/>
      </w:pPr>
      <w:r>
        <w:t>Dopo l’accensione del telecomando, attivare il sottomenu «</w:t>
      </w:r>
      <w:proofErr w:type="spellStart"/>
      <w:proofErr w:type="gramStart"/>
      <w:r>
        <w:t>G.seg.p</w:t>
      </w:r>
      <w:proofErr w:type="spellEnd"/>
      <w:r>
        <w:t>.</w:t>
      </w:r>
      <w:proofErr w:type="gramEnd"/>
      <w:r>
        <w:t>» e tornare indietro nel menu con «2».</w:t>
      </w:r>
    </w:p>
    <w:p w14:paraId="5BAA575D" w14:textId="77777777" w:rsidR="00544DB2" w:rsidRDefault="00000000">
      <w:pPr>
        <w:pStyle w:val="Paragrafoelenco"/>
        <w:numPr>
          <w:ilvl w:val="0"/>
          <w:numId w:val="6"/>
        </w:numPr>
        <w:spacing w:after="80" w:line="272" w:lineRule="auto"/>
      </w:pPr>
      <w:r>
        <w:t>Attivare l’immissione del semaforo parallelo con «3» (si disattiva con «1»), proseguire con «4» e immettere i tempi come già descritto.</w:t>
      </w:r>
    </w:p>
    <w:p w14:paraId="30E68405" w14:textId="77777777" w:rsidR="00544DB2" w:rsidRDefault="00000000">
      <w:pPr>
        <w:pStyle w:val="Paragrafoelenco"/>
        <w:numPr>
          <w:ilvl w:val="0"/>
          <w:numId w:val="6"/>
        </w:numPr>
        <w:spacing w:after="80" w:line="272" w:lineRule="auto"/>
      </w:pPr>
      <w:r>
        <w:t>È possibile assegnare a ogni gruppo fino a 9 semafori paralleli. Programmarli secondo la loro assegnazione (es. «1T1» indica Gruppo 1 – Testa 1), trasmettendo i dati con «OK» e confermando l’attivazione.</w:t>
      </w:r>
    </w:p>
    <w:p w14:paraId="1663899D" w14:textId="77777777" w:rsidR="00544DB2" w:rsidRDefault="00000000">
      <w:pPr>
        <w:pStyle w:val="Titolo1"/>
      </w:pPr>
      <w:r>
        <w:t>9. Modalità operative speciali (esercizio manuale)</w:t>
      </w:r>
    </w:p>
    <w:p w14:paraId="03A2FEB1" w14:textId="77777777" w:rsidR="00544DB2" w:rsidRDefault="00000000">
      <w:pPr>
        <w:spacing w:after="120" w:line="276" w:lineRule="auto"/>
      </w:pPr>
      <w:r>
        <w:t>Con il telecomando spento si accede alle modalità speciali premendo insieme «Man.» e «ON»; con il telecomando acceso, tenere premuto «Man.» per circa 5 secondi. Scorrere le voci con «3» (avanti) e «1» (indietro).</w:t>
      </w:r>
    </w:p>
    <w:p w14:paraId="1F1177B0" w14:textId="77777777" w:rsidR="00544DB2" w:rsidRDefault="00000000">
      <w:pPr>
        <w:pStyle w:val="Paragrafoelenco"/>
        <w:numPr>
          <w:ilvl w:val="0"/>
          <w:numId w:val="7"/>
        </w:numPr>
        <w:spacing w:after="70" w:line="272" w:lineRule="auto"/>
      </w:pPr>
      <w:r>
        <w:t>Lampeggiante: il semaforo selezionato lampeggia in giallo. Ripetere su ogni semaforo.</w:t>
      </w:r>
    </w:p>
    <w:p w14:paraId="7C2954EE" w14:textId="77777777" w:rsidR="00544DB2" w:rsidRDefault="00000000">
      <w:pPr>
        <w:pStyle w:val="Paragrafoelenco"/>
        <w:numPr>
          <w:ilvl w:val="0"/>
          <w:numId w:val="7"/>
        </w:numPr>
        <w:spacing w:after="70" w:line="272" w:lineRule="auto"/>
      </w:pPr>
      <w:r>
        <w:t>Spento: le lampade del semaforo vengono spente (es. di notte). Ripetere su ogni semaforo.</w:t>
      </w:r>
    </w:p>
    <w:p w14:paraId="58AC1EED" w14:textId="77777777" w:rsidR="00544DB2" w:rsidRDefault="00000000">
      <w:pPr>
        <w:pStyle w:val="Paragrafoelenco"/>
        <w:numPr>
          <w:ilvl w:val="0"/>
          <w:numId w:val="7"/>
        </w:numPr>
        <w:spacing w:after="70" w:line="272" w:lineRule="auto"/>
      </w:pPr>
      <w:r>
        <w:t>Rosso permanente: il semaforo passa stabilmente al rosso (es. per spostare un mezzo o per abbattimento alberi).</w:t>
      </w:r>
    </w:p>
    <w:p w14:paraId="5E2B5CA9" w14:textId="77777777" w:rsidR="00544DB2" w:rsidRDefault="00000000">
      <w:pPr>
        <w:pStyle w:val="Paragrafoelenco"/>
        <w:numPr>
          <w:ilvl w:val="0"/>
          <w:numId w:val="7"/>
        </w:numPr>
        <w:spacing w:after="70" w:line="272" w:lineRule="auto"/>
      </w:pPr>
      <w:r>
        <w:t>Verde permanente: il semaforo passa stabilmente al verde (es. per smaltire una coda).</w:t>
      </w:r>
    </w:p>
    <w:p w14:paraId="408EB52F" w14:textId="77777777" w:rsidR="00544DB2" w:rsidRDefault="00000000">
      <w:pPr>
        <w:spacing w:after="120" w:line="276" w:lineRule="auto"/>
      </w:pPr>
      <w:r>
        <w:rPr>
          <w:b/>
          <w:bCs/>
          <w:color w:val="B00000"/>
          <w:sz w:val="20"/>
          <w:szCs w:val="20"/>
        </w:rPr>
        <w:t>ATTENZIONE: nelle modalità rosso/verde permanente, definire uno stato coerente in entrambi i semafori per evitare equivoci nel traffico (se un semaforo è su «Verde», l’altro deve essere su «Rosso»). Per uscire dall’esercizio manuale, selezionare «</w:t>
      </w:r>
      <w:proofErr w:type="spellStart"/>
      <w:r>
        <w:rPr>
          <w:b/>
          <w:bCs/>
          <w:color w:val="B00000"/>
          <w:sz w:val="20"/>
          <w:szCs w:val="20"/>
        </w:rPr>
        <w:t>Automat</w:t>
      </w:r>
      <w:proofErr w:type="spellEnd"/>
      <w:r>
        <w:rPr>
          <w:b/>
          <w:bCs/>
          <w:color w:val="B00000"/>
          <w:sz w:val="20"/>
          <w:szCs w:val="20"/>
        </w:rPr>
        <w:t>.» e confermare con «OK» su ogni semaforo, poi disinserire il telecomando («Box off»).</w:t>
      </w:r>
    </w:p>
    <w:p w14:paraId="3DC9943B" w14:textId="77777777" w:rsidR="00544DB2" w:rsidRDefault="00000000">
      <w:pPr>
        <w:pStyle w:val="Titolo1"/>
      </w:pPr>
      <w:r>
        <w:t>10. Indicatori LED nel comando del semaforo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0"/>
        <w:gridCol w:w="6260"/>
      </w:tblGrid>
      <w:tr w:rsidR="00544DB2" w14:paraId="4240596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2F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9487233" w14:textId="77777777" w:rsidR="00544DB2" w:rsidRDefault="00000000">
            <w:pPr>
              <w:spacing w:line="264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>Indicazione LED</w:t>
            </w:r>
          </w:p>
        </w:tc>
        <w:tc>
          <w:tcPr>
            <w:tcW w:w="6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2F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B51F567" w14:textId="77777777" w:rsidR="00544DB2" w:rsidRDefault="00000000">
            <w:pPr>
              <w:spacing w:line="264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>Significato</w:t>
            </w:r>
          </w:p>
        </w:tc>
      </w:tr>
      <w:tr w:rsidR="00544DB2" w14:paraId="3055F1BD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9B23D9A" w14:textId="77777777" w:rsidR="00544DB2" w:rsidRDefault="00000000">
            <w:pPr>
              <w:spacing w:line="264" w:lineRule="auto"/>
            </w:pPr>
            <w:r>
              <w:rPr>
                <w:b/>
                <w:bCs/>
                <w:sz w:val="20"/>
                <w:szCs w:val="20"/>
              </w:rPr>
              <w:t>Giallo spento</w:t>
            </w:r>
          </w:p>
        </w:tc>
        <w:tc>
          <w:tcPr>
            <w:tcW w:w="6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5F2027C" w14:textId="77777777" w:rsidR="00544DB2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Batteria carica</w:t>
            </w:r>
          </w:p>
        </w:tc>
      </w:tr>
      <w:tr w:rsidR="00544DB2" w14:paraId="737FCADF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C27BD51" w14:textId="77777777" w:rsidR="00544DB2" w:rsidRDefault="00000000">
            <w:pPr>
              <w:spacing w:line="264" w:lineRule="auto"/>
            </w:pPr>
            <w:r>
              <w:rPr>
                <w:b/>
                <w:bCs/>
                <w:sz w:val="20"/>
                <w:szCs w:val="20"/>
              </w:rPr>
              <w:t>Giallo fisso</w:t>
            </w:r>
          </w:p>
        </w:tc>
        <w:tc>
          <w:tcPr>
            <w:tcW w:w="6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6FB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B96CE93" w14:textId="77777777" w:rsidR="00544DB2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Avvertenza batteria (circa 10,5 V)</w:t>
            </w:r>
          </w:p>
        </w:tc>
      </w:tr>
      <w:tr w:rsidR="00544DB2" w14:paraId="2F0854F0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896B551" w14:textId="77777777" w:rsidR="00544DB2" w:rsidRDefault="00000000">
            <w:pPr>
              <w:spacing w:line="264" w:lineRule="auto"/>
            </w:pPr>
            <w:r>
              <w:rPr>
                <w:b/>
                <w:bCs/>
                <w:sz w:val="20"/>
                <w:szCs w:val="20"/>
              </w:rPr>
              <w:t>Giallo lampeggio veloce</w:t>
            </w:r>
          </w:p>
        </w:tc>
        <w:tc>
          <w:tcPr>
            <w:tcW w:w="6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8B691E9" w14:textId="77777777" w:rsidR="00544DB2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Batteria scarica: semaforo spento. Sostituire entro 5 minuti, altrimenti i dati programmati vengono cancellati</w:t>
            </w:r>
          </w:p>
        </w:tc>
      </w:tr>
      <w:tr w:rsidR="00544DB2" w14:paraId="4AA0F5C5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DAF44FD" w14:textId="77777777" w:rsidR="00544DB2" w:rsidRDefault="00000000">
            <w:pPr>
              <w:spacing w:line="264" w:lineRule="auto"/>
            </w:pPr>
            <w:r>
              <w:rPr>
                <w:b/>
                <w:bCs/>
                <w:sz w:val="20"/>
                <w:szCs w:val="20"/>
              </w:rPr>
              <w:t>Giallo lampeggio lento</w:t>
            </w:r>
          </w:p>
        </w:tc>
        <w:tc>
          <w:tcPr>
            <w:tcW w:w="6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6FB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7F69AE3" w14:textId="77777777" w:rsidR="00544DB2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Esercizio manuale: giallo lampeggiante</w:t>
            </w:r>
          </w:p>
        </w:tc>
      </w:tr>
      <w:tr w:rsidR="00544DB2" w14:paraId="25AB4C66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C01516C" w14:textId="77777777" w:rsidR="00544DB2" w:rsidRDefault="00000000">
            <w:pPr>
              <w:spacing w:line="264" w:lineRule="auto"/>
            </w:pPr>
            <w:r>
              <w:rPr>
                <w:b/>
                <w:bCs/>
                <w:sz w:val="20"/>
                <w:szCs w:val="20"/>
              </w:rPr>
              <w:t>Rosso fisso</w:t>
            </w:r>
          </w:p>
        </w:tc>
        <w:tc>
          <w:tcPr>
            <w:tcW w:w="6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99D6151" w14:textId="77777777" w:rsidR="00544DB2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Esercizio manuale: rosso permanente</w:t>
            </w:r>
          </w:p>
        </w:tc>
      </w:tr>
      <w:tr w:rsidR="00544DB2" w14:paraId="1A80B9E4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79EB527" w14:textId="77777777" w:rsidR="00544DB2" w:rsidRDefault="00000000">
            <w:pPr>
              <w:spacing w:line="264" w:lineRule="auto"/>
            </w:pPr>
            <w:r>
              <w:rPr>
                <w:b/>
                <w:bCs/>
                <w:sz w:val="20"/>
                <w:szCs w:val="20"/>
              </w:rPr>
              <w:t>Rosso lampeggiante</w:t>
            </w:r>
          </w:p>
        </w:tc>
        <w:tc>
          <w:tcPr>
            <w:tcW w:w="6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6FB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E9879AD" w14:textId="77777777" w:rsidR="00544DB2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Lampada del rosso difettosa: sostituire la lampada</w:t>
            </w:r>
          </w:p>
        </w:tc>
      </w:tr>
      <w:tr w:rsidR="00544DB2" w14:paraId="103AE12D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76823B6" w14:textId="77777777" w:rsidR="00544DB2" w:rsidRDefault="00000000">
            <w:pPr>
              <w:spacing w:line="264" w:lineRule="auto"/>
            </w:pPr>
            <w:r>
              <w:rPr>
                <w:b/>
                <w:bCs/>
                <w:sz w:val="20"/>
                <w:szCs w:val="20"/>
              </w:rPr>
              <w:t>Arancione (</w:t>
            </w:r>
            <w:proofErr w:type="spellStart"/>
            <w:r>
              <w:rPr>
                <w:b/>
                <w:bCs/>
                <w:sz w:val="20"/>
                <w:szCs w:val="20"/>
              </w:rPr>
              <w:t>rosso+verde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12EECAF" w14:textId="77777777" w:rsidR="00544DB2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Esercizio manuale: spento (lampade off)</w:t>
            </w:r>
          </w:p>
        </w:tc>
      </w:tr>
    </w:tbl>
    <w:p w14:paraId="3DDD2888" w14:textId="77777777" w:rsidR="00544DB2" w:rsidRDefault="00000000">
      <w:pPr>
        <w:spacing w:before="60" w:after="120" w:line="276" w:lineRule="auto"/>
      </w:pPr>
      <w:r>
        <w:rPr>
          <w:color w:val="555555"/>
          <w:sz w:val="20"/>
          <w:szCs w:val="20"/>
        </w:rPr>
        <w:lastRenderedPageBreak/>
        <w:t>Inoltre, alla commutazione da verde a giallo, il LED verde lampeggia 1 volta nel semaforo 1, 2 volte nel semaforo 2, 3 volte nel semaforo 3 e così via: indica come è stato programmato ciascun semaforo.</w:t>
      </w:r>
    </w:p>
    <w:p w14:paraId="6868B12F" w14:textId="77777777" w:rsidR="00544DB2" w:rsidRDefault="00000000">
      <w:pPr>
        <w:pStyle w:val="Titolo1"/>
      </w:pPr>
      <w:r>
        <w:t>11. Batteria, alimentazione e fermo impianto</w:t>
      </w:r>
    </w:p>
    <w:p w14:paraId="136258BB" w14:textId="77777777" w:rsidR="00544DB2" w:rsidRDefault="00000000">
      <w:pPr>
        <w:pStyle w:val="Paragrafoelenco"/>
        <w:numPr>
          <w:ilvl w:val="0"/>
          <w:numId w:val="7"/>
        </w:numPr>
        <w:spacing w:after="70" w:line="272" w:lineRule="auto"/>
      </w:pPr>
      <w:r>
        <w:t>Sostituzione batteria: a circa 9 V il semaforo spegne le lampade. Sostituire con una batteria carica da 12 V (capacità secondo l’impianto), alloggiata nella scatola in basso. Per non perdere la programmazione, sostituire la batteria entro 5 minuti.</w:t>
      </w:r>
    </w:p>
    <w:p w14:paraId="3EF2ACB0" w14:textId="39B6926A" w:rsidR="00544DB2" w:rsidRDefault="00000000">
      <w:pPr>
        <w:pStyle w:val="Paragrafoelenco"/>
        <w:numPr>
          <w:ilvl w:val="0"/>
          <w:numId w:val="7"/>
        </w:numPr>
        <w:spacing w:after="70" w:line="272" w:lineRule="auto"/>
      </w:pPr>
      <w:r>
        <w:t>Alimentazione da rete: in alternativa alle batterie è possibile alimentare a 12 V tramite alimentatore dedicato (es. DB</w:t>
      </w:r>
      <w:r w:rsidR="001F1C33">
        <w:t>830</w:t>
      </w:r>
      <w:r>
        <w:t>SE).</w:t>
      </w:r>
    </w:p>
    <w:p w14:paraId="7ED7C2F6" w14:textId="77777777" w:rsidR="00544DB2" w:rsidRDefault="00000000">
      <w:pPr>
        <w:pStyle w:val="Paragrafoelenco"/>
        <w:numPr>
          <w:ilvl w:val="0"/>
          <w:numId w:val="7"/>
        </w:numPr>
        <w:spacing w:after="70" w:line="272" w:lineRule="auto"/>
      </w:pPr>
      <w:r>
        <w:t>Interruzione provvisoria: per mettere fuori servizio i semafori senza cancellare il programma, impostarli entrambi su «Spento»; non staccare le batterie. Il programma prosegue internamente grazie all’alimentazione collegata.</w:t>
      </w:r>
    </w:p>
    <w:p w14:paraId="365F4E34" w14:textId="77777777" w:rsidR="00544DB2" w:rsidRDefault="00000000">
      <w:pPr>
        <w:pStyle w:val="Titolo1"/>
      </w:pPr>
      <w:r>
        <w:t>12. Avvertenze</w:t>
      </w:r>
    </w:p>
    <w:p w14:paraId="0147FE08" w14:textId="77777777" w:rsidR="00544DB2" w:rsidRDefault="00000000">
      <w:pPr>
        <w:pStyle w:val="Paragrafoelenco"/>
        <w:numPr>
          <w:ilvl w:val="0"/>
          <w:numId w:val="7"/>
        </w:numPr>
        <w:spacing w:after="70" w:line="272" w:lineRule="auto"/>
      </w:pPr>
      <w:r>
        <w:t>Allestire e segnalare il cantiere secondo il Codice della Strada e il relativo Regolamento di attuazione.</w:t>
      </w:r>
    </w:p>
    <w:p w14:paraId="41E923EA" w14:textId="77777777" w:rsidR="00544DB2" w:rsidRDefault="00000000">
      <w:pPr>
        <w:pStyle w:val="Paragrafoelenco"/>
        <w:numPr>
          <w:ilvl w:val="0"/>
          <w:numId w:val="7"/>
        </w:numPr>
        <w:spacing w:after="70" w:line="272" w:lineRule="auto"/>
      </w:pPr>
      <w:r>
        <w:t>Rispettare sempre la polarità nei collegamenti e proteggere i contatti dall’acqua.</w:t>
      </w:r>
    </w:p>
    <w:p w14:paraId="2813ABE4" w14:textId="77777777" w:rsidR="00544DB2" w:rsidRDefault="00000000">
      <w:pPr>
        <w:pStyle w:val="Paragrafoelenco"/>
        <w:numPr>
          <w:ilvl w:val="0"/>
          <w:numId w:val="7"/>
        </w:numPr>
        <w:spacing w:after="70" w:line="272" w:lineRule="auto"/>
      </w:pPr>
      <w:r>
        <w:t>Non manomettere i semafori, le centraline e i cablaggi; per qualsiasi anomalia rivolgersi all’assistenza.</w:t>
      </w:r>
    </w:p>
    <w:p w14:paraId="15B60DA4" w14:textId="77777777" w:rsidR="00544DB2" w:rsidRDefault="00544DB2">
      <w:pPr>
        <w:spacing w:after="120" w:line="276" w:lineRule="auto"/>
      </w:pPr>
    </w:p>
    <w:p w14:paraId="04360ED2" w14:textId="77777777" w:rsidR="00544DB2" w:rsidRDefault="00000000">
      <w:pPr>
        <w:spacing w:after="120" w:line="276" w:lineRule="auto"/>
      </w:pPr>
      <w:r>
        <w:rPr>
          <w:i/>
          <w:iCs/>
          <w:color w:val="555555"/>
          <w:sz w:val="20"/>
          <w:szCs w:val="20"/>
        </w:rPr>
        <w:t>Documento emesso in data 30/06/2026 – Revisione 00.</w:t>
      </w:r>
    </w:p>
    <w:p w14:paraId="28E33148" w14:textId="77777777" w:rsidR="00544DB2" w:rsidRDefault="00000000">
      <w:pPr>
        <w:spacing w:line="276" w:lineRule="auto"/>
      </w:pPr>
      <w:r>
        <w:rPr>
          <w:b/>
          <w:bCs/>
          <w:color w:val="1F3864"/>
          <w:sz w:val="20"/>
          <w:szCs w:val="20"/>
        </w:rPr>
        <w:t xml:space="preserve">DB Plast Green Solution S.r.l. – Divisione </w:t>
      </w:r>
      <w:proofErr w:type="spellStart"/>
      <w:r>
        <w:rPr>
          <w:b/>
          <w:bCs/>
          <w:color w:val="1F3864"/>
          <w:sz w:val="20"/>
          <w:szCs w:val="20"/>
        </w:rPr>
        <w:t>Lavorincorso</w:t>
      </w:r>
      <w:proofErr w:type="spellEnd"/>
    </w:p>
    <w:p w14:paraId="2EE66A54" w14:textId="77777777" w:rsidR="00544DB2" w:rsidRDefault="00000000">
      <w:pPr>
        <w:spacing w:after="120" w:line="276" w:lineRule="auto"/>
      </w:pPr>
      <w:r>
        <w:rPr>
          <w:color w:val="555555"/>
          <w:sz w:val="18"/>
          <w:szCs w:val="18"/>
        </w:rPr>
        <w:t xml:space="preserve">Via Romana, 23 – </w:t>
      </w:r>
      <w:proofErr w:type="spellStart"/>
      <w:r>
        <w:rPr>
          <w:color w:val="555555"/>
          <w:sz w:val="18"/>
          <w:szCs w:val="18"/>
        </w:rPr>
        <w:t>Loc</w:t>
      </w:r>
      <w:proofErr w:type="spellEnd"/>
      <w:r>
        <w:rPr>
          <w:color w:val="555555"/>
          <w:sz w:val="18"/>
          <w:szCs w:val="18"/>
        </w:rPr>
        <w:t>. Promano, 06012 Città di Castello (PG) – Tel. 075 5458631 – commerciale@lavorincorso-db.com</w:t>
      </w:r>
    </w:p>
    <w:sectPr w:rsidR="00544DB2">
      <w:headerReference w:type="default" r:id="rId7"/>
      <w:footerReference w:type="default" r:id="rId8"/>
      <w:pgSz w:w="12240" w:h="15840"/>
      <w:pgMar w:top="1820" w:right="1440" w:bottom="1300" w:left="1440" w:header="360" w:footer="3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B1A86" w14:textId="77777777" w:rsidR="008A08D6" w:rsidRDefault="008A08D6">
      <w:r>
        <w:separator/>
      </w:r>
    </w:p>
  </w:endnote>
  <w:endnote w:type="continuationSeparator" w:id="0">
    <w:p w14:paraId="65100483" w14:textId="77777777" w:rsidR="008A08D6" w:rsidRDefault="008A0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FCBF4" w14:textId="77777777" w:rsidR="00544DB2" w:rsidRDefault="00000000">
    <w:pPr>
      <w:pBdr>
        <w:top w:val="single" w:sz="4" w:space="4" w:color="CCCCCC"/>
      </w:pBdr>
      <w:tabs>
        <w:tab w:val="right" w:pos="9360"/>
      </w:tabs>
    </w:pPr>
    <w:r>
      <w:rPr>
        <w:color w:val="777777"/>
        <w:sz w:val="16"/>
        <w:szCs w:val="16"/>
      </w:rPr>
      <w:t>Manuale d’uso DB SYNC-4 – Rev. 00</w:t>
    </w:r>
    <w:r>
      <w:rPr>
        <w:color w:val="777777"/>
        <w:sz w:val="16"/>
        <w:szCs w:val="16"/>
      </w:rPr>
      <w:tab/>
      <w:t xml:space="preserve">Pag. </w:t>
    </w:r>
    <w:r>
      <w:rPr>
        <w:color w:val="777777"/>
        <w:sz w:val="16"/>
        <w:szCs w:val="16"/>
      </w:rPr>
      <w:fldChar w:fldCharType="begin"/>
    </w:r>
    <w:r>
      <w:rPr>
        <w:color w:val="777777"/>
        <w:sz w:val="16"/>
        <w:szCs w:val="16"/>
      </w:rPr>
      <w:instrText>PAGE</w:instrText>
    </w:r>
    <w:r>
      <w:rPr>
        <w:color w:val="777777"/>
        <w:sz w:val="16"/>
        <w:szCs w:val="16"/>
      </w:rPr>
      <w:fldChar w:fldCharType="separate"/>
    </w:r>
    <w:r w:rsidR="001F1C33">
      <w:rPr>
        <w:noProof/>
        <w:color w:val="777777"/>
        <w:sz w:val="16"/>
        <w:szCs w:val="16"/>
      </w:rPr>
      <w:t>1</w:t>
    </w:r>
    <w:r>
      <w:rPr>
        <w:color w:val="777777"/>
        <w:sz w:val="16"/>
        <w:szCs w:val="16"/>
      </w:rPr>
      <w:fldChar w:fldCharType="end"/>
    </w:r>
    <w:r>
      <w:rPr>
        <w:color w:val="777777"/>
        <w:sz w:val="16"/>
        <w:szCs w:val="16"/>
      </w:rPr>
      <w:t xml:space="preserve"> di </w:t>
    </w:r>
    <w:r>
      <w:rPr>
        <w:color w:val="777777"/>
        <w:sz w:val="16"/>
        <w:szCs w:val="16"/>
      </w:rPr>
      <w:fldChar w:fldCharType="begin"/>
    </w:r>
    <w:r>
      <w:rPr>
        <w:color w:val="777777"/>
        <w:sz w:val="16"/>
        <w:szCs w:val="16"/>
      </w:rPr>
      <w:instrText>NUMPAGES</w:instrText>
    </w:r>
    <w:r>
      <w:rPr>
        <w:color w:val="777777"/>
        <w:sz w:val="16"/>
        <w:szCs w:val="16"/>
      </w:rPr>
      <w:fldChar w:fldCharType="separate"/>
    </w:r>
    <w:r w:rsidR="001F1C33">
      <w:rPr>
        <w:noProof/>
        <w:color w:val="777777"/>
        <w:sz w:val="16"/>
        <w:szCs w:val="16"/>
      </w:rPr>
      <w:t>2</w:t>
    </w:r>
    <w:r>
      <w:rPr>
        <w:color w:val="777777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FBF2D" w14:textId="77777777" w:rsidR="008A08D6" w:rsidRDefault="008A08D6">
      <w:r>
        <w:separator/>
      </w:r>
    </w:p>
  </w:footnote>
  <w:footnote w:type="continuationSeparator" w:id="0">
    <w:p w14:paraId="3B044AE2" w14:textId="77777777" w:rsidR="008A08D6" w:rsidRDefault="008A0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BEE2" w14:textId="77777777" w:rsidR="00544DB2" w:rsidRDefault="00000000">
    <w:r>
      <w:rPr>
        <w:noProof/>
      </w:rPr>
      <w:drawing>
        <wp:inline distT="0" distB="0" distL="0" distR="0" wp14:anchorId="3AACD3DB" wp14:editId="13483E9F">
          <wp:extent cx="6172200" cy="77152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B0BDB"/>
    <w:multiLevelType w:val="hybridMultilevel"/>
    <w:tmpl w:val="010C7214"/>
    <w:lvl w:ilvl="0" w:tplc="F2FC64E8">
      <w:start w:val="1"/>
      <w:numFmt w:val="decimal"/>
      <w:lvlText w:val="%1."/>
      <w:lvlJc w:val="left"/>
      <w:pPr>
        <w:ind w:left="560" w:hanging="300"/>
      </w:pPr>
    </w:lvl>
    <w:lvl w:ilvl="1" w:tplc="9EB4D5DA">
      <w:numFmt w:val="decimal"/>
      <w:lvlText w:val=""/>
      <w:lvlJc w:val="left"/>
    </w:lvl>
    <w:lvl w:ilvl="2" w:tplc="C542FB0A">
      <w:numFmt w:val="decimal"/>
      <w:lvlText w:val=""/>
      <w:lvlJc w:val="left"/>
    </w:lvl>
    <w:lvl w:ilvl="3" w:tplc="412A55B6">
      <w:numFmt w:val="decimal"/>
      <w:lvlText w:val=""/>
      <w:lvlJc w:val="left"/>
    </w:lvl>
    <w:lvl w:ilvl="4" w:tplc="82F8C734">
      <w:numFmt w:val="decimal"/>
      <w:lvlText w:val=""/>
      <w:lvlJc w:val="left"/>
    </w:lvl>
    <w:lvl w:ilvl="5" w:tplc="CFA0D1E4">
      <w:numFmt w:val="decimal"/>
      <w:lvlText w:val=""/>
      <w:lvlJc w:val="left"/>
    </w:lvl>
    <w:lvl w:ilvl="6" w:tplc="D098D62E">
      <w:numFmt w:val="decimal"/>
      <w:lvlText w:val=""/>
      <w:lvlJc w:val="left"/>
    </w:lvl>
    <w:lvl w:ilvl="7" w:tplc="3EA0D7FE">
      <w:numFmt w:val="decimal"/>
      <w:lvlText w:val=""/>
      <w:lvlJc w:val="left"/>
    </w:lvl>
    <w:lvl w:ilvl="8" w:tplc="B27A9E4C">
      <w:numFmt w:val="decimal"/>
      <w:lvlText w:val=""/>
      <w:lvlJc w:val="left"/>
    </w:lvl>
  </w:abstractNum>
  <w:abstractNum w:abstractNumId="1" w15:restartNumberingAfterBreak="0">
    <w:nsid w:val="0AB27BF6"/>
    <w:multiLevelType w:val="hybridMultilevel"/>
    <w:tmpl w:val="C8B67A4C"/>
    <w:lvl w:ilvl="0" w:tplc="1D9077DA">
      <w:start w:val="1"/>
      <w:numFmt w:val="decimal"/>
      <w:lvlText w:val="%1."/>
      <w:lvlJc w:val="left"/>
      <w:pPr>
        <w:ind w:left="560" w:hanging="300"/>
      </w:pPr>
    </w:lvl>
    <w:lvl w:ilvl="1" w:tplc="5CE40F7C">
      <w:numFmt w:val="decimal"/>
      <w:lvlText w:val=""/>
      <w:lvlJc w:val="left"/>
    </w:lvl>
    <w:lvl w:ilvl="2" w:tplc="87E6EE54">
      <w:numFmt w:val="decimal"/>
      <w:lvlText w:val=""/>
      <w:lvlJc w:val="left"/>
    </w:lvl>
    <w:lvl w:ilvl="3" w:tplc="99A85D2A">
      <w:numFmt w:val="decimal"/>
      <w:lvlText w:val=""/>
      <w:lvlJc w:val="left"/>
    </w:lvl>
    <w:lvl w:ilvl="4" w:tplc="8F7E7CE2">
      <w:numFmt w:val="decimal"/>
      <w:lvlText w:val=""/>
      <w:lvlJc w:val="left"/>
    </w:lvl>
    <w:lvl w:ilvl="5" w:tplc="870C3B76">
      <w:numFmt w:val="decimal"/>
      <w:lvlText w:val=""/>
      <w:lvlJc w:val="left"/>
    </w:lvl>
    <w:lvl w:ilvl="6" w:tplc="9CE697EE">
      <w:numFmt w:val="decimal"/>
      <w:lvlText w:val=""/>
      <w:lvlJc w:val="left"/>
    </w:lvl>
    <w:lvl w:ilvl="7" w:tplc="155E34E6">
      <w:numFmt w:val="decimal"/>
      <w:lvlText w:val=""/>
      <w:lvlJc w:val="left"/>
    </w:lvl>
    <w:lvl w:ilvl="8" w:tplc="BC9A0C78">
      <w:numFmt w:val="decimal"/>
      <w:lvlText w:val=""/>
      <w:lvlJc w:val="left"/>
    </w:lvl>
  </w:abstractNum>
  <w:abstractNum w:abstractNumId="2" w15:restartNumberingAfterBreak="0">
    <w:nsid w:val="105138FF"/>
    <w:multiLevelType w:val="hybridMultilevel"/>
    <w:tmpl w:val="C030973C"/>
    <w:lvl w:ilvl="0" w:tplc="4D38EC1C">
      <w:start w:val="1"/>
      <w:numFmt w:val="decimal"/>
      <w:lvlText w:val="%1."/>
      <w:lvlJc w:val="left"/>
      <w:pPr>
        <w:ind w:left="560" w:hanging="300"/>
      </w:pPr>
    </w:lvl>
    <w:lvl w:ilvl="1" w:tplc="95B49C76">
      <w:numFmt w:val="decimal"/>
      <w:lvlText w:val=""/>
      <w:lvlJc w:val="left"/>
    </w:lvl>
    <w:lvl w:ilvl="2" w:tplc="E1BC7CCC">
      <w:numFmt w:val="decimal"/>
      <w:lvlText w:val=""/>
      <w:lvlJc w:val="left"/>
    </w:lvl>
    <w:lvl w:ilvl="3" w:tplc="115EAFF8">
      <w:numFmt w:val="decimal"/>
      <w:lvlText w:val=""/>
      <w:lvlJc w:val="left"/>
    </w:lvl>
    <w:lvl w:ilvl="4" w:tplc="6960077A">
      <w:numFmt w:val="decimal"/>
      <w:lvlText w:val=""/>
      <w:lvlJc w:val="left"/>
    </w:lvl>
    <w:lvl w:ilvl="5" w:tplc="48F66CEA">
      <w:numFmt w:val="decimal"/>
      <w:lvlText w:val=""/>
      <w:lvlJc w:val="left"/>
    </w:lvl>
    <w:lvl w:ilvl="6" w:tplc="BB2868E0">
      <w:numFmt w:val="decimal"/>
      <w:lvlText w:val=""/>
      <w:lvlJc w:val="left"/>
    </w:lvl>
    <w:lvl w:ilvl="7" w:tplc="F080E5D2">
      <w:numFmt w:val="decimal"/>
      <w:lvlText w:val=""/>
      <w:lvlJc w:val="left"/>
    </w:lvl>
    <w:lvl w:ilvl="8" w:tplc="246EEB74">
      <w:numFmt w:val="decimal"/>
      <w:lvlText w:val=""/>
      <w:lvlJc w:val="left"/>
    </w:lvl>
  </w:abstractNum>
  <w:abstractNum w:abstractNumId="3" w15:restartNumberingAfterBreak="0">
    <w:nsid w:val="60574747"/>
    <w:multiLevelType w:val="hybridMultilevel"/>
    <w:tmpl w:val="88FEDE3A"/>
    <w:lvl w:ilvl="0" w:tplc="1A745424">
      <w:start w:val="1"/>
      <w:numFmt w:val="decimal"/>
      <w:lvlText w:val="%1."/>
      <w:lvlJc w:val="left"/>
      <w:pPr>
        <w:ind w:left="560" w:hanging="300"/>
      </w:pPr>
    </w:lvl>
    <w:lvl w:ilvl="1" w:tplc="663A3474">
      <w:numFmt w:val="decimal"/>
      <w:lvlText w:val=""/>
      <w:lvlJc w:val="left"/>
    </w:lvl>
    <w:lvl w:ilvl="2" w:tplc="AB427216">
      <w:numFmt w:val="decimal"/>
      <w:lvlText w:val=""/>
      <w:lvlJc w:val="left"/>
    </w:lvl>
    <w:lvl w:ilvl="3" w:tplc="1F289480">
      <w:numFmt w:val="decimal"/>
      <w:lvlText w:val=""/>
      <w:lvlJc w:val="left"/>
    </w:lvl>
    <w:lvl w:ilvl="4" w:tplc="740422A2">
      <w:numFmt w:val="decimal"/>
      <w:lvlText w:val=""/>
      <w:lvlJc w:val="left"/>
    </w:lvl>
    <w:lvl w:ilvl="5" w:tplc="F554209A">
      <w:numFmt w:val="decimal"/>
      <w:lvlText w:val=""/>
      <w:lvlJc w:val="left"/>
    </w:lvl>
    <w:lvl w:ilvl="6" w:tplc="1FD807F4">
      <w:numFmt w:val="decimal"/>
      <w:lvlText w:val=""/>
      <w:lvlJc w:val="left"/>
    </w:lvl>
    <w:lvl w:ilvl="7" w:tplc="7D84D388">
      <w:numFmt w:val="decimal"/>
      <w:lvlText w:val=""/>
      <w:lvlJc w:val="left"/>
    </w:lvl>
    <w:lvl w:ilvl="8" w:tplc="AB80EA78">
      <w:numFmt w:val="decimal"/>
      <w:lvlText w:val=""/>
      <w:lvlJc w:val="left"/>
    </w:lvl>
  </w:abstractNum>
  <w:abstractNum w:abstractNumId="4" w15:restartNumberingAfterBreak="0">
    <w:nsid w:val="61456949"/>
    <w:multiLevelType w:val="hybridMultilevel"/>
    <w:tmpl w:val="B75E07D2"/>
    <w:lvl w:ilvl="0" w:tplc="842E74C6">
      <w:start w:val="1"/>
      <w:numFmt w:val="decimal"/>
      <w:lvlText w:val="%1."/>
      <w:lvlJc w:val="left"/>
      <w:pPr>
        <w:ind w:left="560" w:hanging="300"/>
      </w:pPr>
    </w:lvl>
    <w:lvl w:ilvl="1" w:tplc="3EE09028">
      <w:numFmt w:val="decimal"/>
      <w:lvlText w:val=""/>
      <w:lvlJc w:val="left"/>
    </w:lvl>
    <w:lvl w:ilvl="2" w:tplc="C95C4D26">
      <w:numFmt w:val="decimal"/>
      <w:lvlText w:val=""/>
      <w:lvlJc w:val="left"/>
    </w:lvl>
    <w:lvl w:ilvl="3" w:tplc="4296D5C8">
      <w:numFmt w:val="decimal"/>
      <w:lvlText w:val=""/>
      <w:lvlJc w:val="left"/>
    </w:lvl>
    <w:lvl w:ilvl="4" w:tplc="E7BCA060">
      <w:numFmt w:val="decimal"/>
      <w:lvlText w:val=""/>
      <w:lvlJc w:val="left"/>
    </w:lvl>
    <w:lvl w:ilvl="5" w:tplc="EDC06B84">
      <w:numFmt w:val="decimal"/>
      <w:lvlText w:val=""/>
      <w:lvlJc w:val="left"/>
    </w:lvl>
    <w:lvl w:ilvl="6" w:tplc="0864579C">
      <w:numFmt w:val="decimal"/>
      <w:lvlText w:val=""/>
      <w:lvlJc w:val="left"/>
    </w:lvl>
    <w:lvl w:ilvl="7" w:tplc="62E8FCF4">
      <w:numFmt w:val="decimal"/>
      <w:lvlText w:val=""/>
      <w:lvlJc w:val="left"/>
    </w:lvl>
    <w:lvl w:ilvl="8" w:tplc="D72407AA">
      <w:numFmt w:val="decimal"/>
      <w:lvlText w:val=""/>
      <w:lvlJc w:val="left"/>
    </w:lvl>
  </w:abstractNum>
  <w:abstractNum w:abstractNumId="5" w15:restartNumberingAfterBreak="0">
    <w:nsid w:val="62B63700"/>
    <w:multiLevelType w:val="hybridMultilevel"/>
    <w:tmpl w:val="6F8A5F8C"/>
    <w:lvl w:ilvl="0" w:tplc="03B2415E">
      <w:start w:val="1"/>
      <w:numFmt w:val="bullet"/>
      <w:lvlText w:val="•"/>
      <w:lvlJc w:val="left"/>
      <w:pPr>
        <w:ind w:left="560" w:hanging="280"/>
      </w:pPr>
    </w:lvl>
    <w:lvl w:ilvl="1" w:tplc="058E6042">
      <w:numFmt w:val="decimal"/>
      <w:lvlText w:val=""/>
      <w:lvlJc w:val="left"/>
    </w:lvl>
    <w:lvl w:ilvl="2" w:tplc="2C0C52DE">
      <w:numFmt w:val="decimal"/>
      <w:lvlText w:val=""/>
      <w:lvlJc w:val="left"/>
    </w:lvl>
    <w:lvl w:ilvl="3" w:tplc="8506CE36">
      <w:numFmt w:val="decimal"/>
      <w:lvlText w:val=""/>
      <w:lvlJc w:val="left"/>
    </w:lvl>
    <w:lvl w:ilvl="4" w:tplc="73CCD34A">
      <w:numFmt w:val="decimal"/>
      <w:lvlText w:val=""/>
      <w:lvlJc w:val="left"/>
    </w:lvl>
    <w:lvl w:ilvl="5" w:tplc="7A92906C">
      <w:numFmt w:val="decimal"/>
      <w:lvlText w:val=""/>
      <w:lvlJc w:val="left"/>
    </w:lvl>
    <w:lvl w:ilvl="6" w:tplc="F90E4D1E">
      <w:numFmt w:val="decimal"/>
      <w:lvlText w:val=""/>
      <w:lvlJc w:val="left"/>
    </w:lvl>
    <w:lvl w:ilvl="7" w:tplc="0C5EDF82">
      <w:numFmt w:val="decimal"/>
      <w:lvlText w:val=""/>
      <w:lvlJc w:val="left"/>
    </w:lvl>
    <w:lvl w:ilvl="8" w:tplc="19C60984">
      <w:numFmt w:val="decimal"/>
      <w:lvlText w:val=""/>
      <w:lvlJc w:val="left"/>
    </w:lvl>
  </w:abstractNum>
  <w:abstractNum w:abstractNumId="6" w15:restartNumberingAfterBreak="0">
    <w:nsid w:val="70110FA9"/>
    <w:multiLevelType w:val="hybridMultilevel"/>
    <w:tmpl w:val="F24CEAAE"/>
    <w:lvl w:ilvl="0" w:tplc="CE401098">
      <w:start w:val="1"/>
      <w:numFmt w:val="bullet"/>
      <w:lvlText w:val="●"/>
      <w:lvlJc w:val="left"/>
      <w:pPr>
        <w:ind w:left="720" w:hanging="360"/>
      </w:pPr>
    </w:lvl>
    <w:lvl w:ilvl="1" w:tplc="180E2134">
      <w:start w:val="1"/>
      <w:numFmt w:val="bullet"/>
      <w:lvlText w:val="○"/>
      <w:lvlJc w:val="left"/>
      <w:pPr>
        <w:ind w:left="1440" w:hanging="360"/>
      </w:pPr>
    </w:lvl>
    <w:lvl w:ilvl="2" w:tplc="39F004CE">
      <w:start w:val="1"/>
      <w:numFmt w:val="bullet"/>
      <w:lvlText w:val="■"/>
      <w:lvlJc w:val="left"/>
      <w:pPr>
        <w:ind w:left="2160" w:hanging="360"/>
      </w:pPr>
    </w:lvl>
    <w:lvl w:ilvl="3" w:tplc="BABEB7A8">
      <w:start w:val="1"/>
      <w:numFmt w:val="bullet"/>
      <w:lvlText w:val="●"/>
      <w:lvlJc w:val="left"/>
      <w:pPr>
        <w:ind w:left="2880" w:hanging="360"/>
      </w:pPr>
    </w:lvl>
    <w:lvl w:ilvl="4" w:tplc="1F707628">
      <w:start w:val="1"/>
      <w:numFmt w:val="bullet"/>
      <w:lvlText w:val="○"/>
      <w:lvlJc w:val="left"/>
      <w:pPr>
        <w:ind w:left="3600" w:hanging="360"/>
      </w:pPr>
    </w:lvl>
    <w:lvl w:ilvl="5" w:tplc="796CAD1A">
      <w:start w:val="1"/>
      <w:numFmt w:val="bullet"/>
      <w:lvlText w:val="■"/>
      <w:lvlJc w:val="left"/>
      <w:pPr>
        <w:ind w:left="4320" w:hanging="360"/>
      </w:pPr>
    </w:lvl>
    <w:lvl w:ilvl="6" w:tplc="47723766">
      <w:start w:val="1"/>
      <w:numFmt w:val="bullet"/>
      <w:lvlText w:val="●"/>
      <w:lvlJc w:val="left"/>
      <w:pPr>
        <w:ind w:left="5040" w:hanging="360"/>
      </w:pPr>
    </w:lvl>
    <w:lvl w:ilvl="7" w:tplc="93FEF5A8">
      <w:start w:val="1"/>
      <w:numFmt w:val="bullet"/>
      <w:lvlText w:val="●"/>
      <w:lvlJc w:val="left"/>
      <w:pPr>
        <w:ind w:left="5760" w:hanging="360"/>
      </w:pPr>
    </w:lvl>
    <w:lvl w:ilvl="8" w:tplc="F39A1F1A">
      <w:start w:val="1"/>
      <w:numFmt w:val="bullet"/>
      <w:lvlText w:val="●"/>
      <w:lvlJc w:val="left"/>
      <w:pPr>
        <w:ind w:left="6480" w:hanging="360"/>
      </w:pPr>
    </w:lvl>
  </w:abstractNum>
  <w:num w:numId="1" w16cid:durableId="320542457">
    <w:abstractNumId w:val="6"/>
    <w:lvlOverride w:ilvl="0">
      <w:startOverride w:val="1"/>
    </w:lvlOverride>
  </w:num>
  <w:num w:numId="2" w16cid:durableId="1730418984">
    <w:abstractNumId w:val="4"/>
    <w:lvlOverride w:ilvl="0">
      <w:startOverride w:val="1"/>
    </w:lvlOverride>
  </w:num>
  <w:num w:numId="3" w16cid:durableId="1615793028">
    <w:abstractNumId w:val="1"/>
    <w:lvlOverride w:ilvl="0">
      <w:startOverride w:val="1"/>
    </w:lvlOverride>
  </w:num>
  <w:num w:numId="4" w16cid:durableId="1771974242">
    <w:abstractNumId w:val="0"/>
    <w:lvlOverride w:ilvl="0">
      <w:startOverride w:val="1"/>
    </w:lvlOverride>
  </w:num>
  <w:num w:numId="5" w16cid:durableId="55711205">
    <w:abstractNumId w:val="3"/>
    <w:lvlOverride w:ilvl="0">
      <w:startOverride w:val="1"/>
    </w:lvlOverride>
  </w:num>
  <w:num w:numId="6" w16cid:durableId="1015573613">
    <w:abstractNumId w:val="2"/>
    <w:lvlOverride w:ilvl="0">
      <w:startOverride w:val="1"/>
    </w:lvlOverride>
  </w:num>
  <w:num w:numId="7" w16cid:durableId="648748426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DB2"/>
    <w:rsid w:val="001F1C33"/>
    <w:rsid w:val="002860DC"/>
    <w:rsid w:val="00544DB2"/>
    <w:rsid w:val="008A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59D4"/>
  <w15:docId w15:val="{AEA2D9B4-93F0-4D18-9DD4-35F305FA4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spacing w:before="240" w:after="120"/>
      <w:outlineLvl w:val="0"/>
    </w:pPr>
    <w:rPr>
      <w:b/>
      <w:bCs/>
      <w:color w:val="1F3864"/>
      <w:sz w:val="26"/>
      <w:szCs w:val="26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1209</Words>
  <Characters>6897</Characters>
  <Application>Microsoft Office Word</Application>
  <DocSecurity>0</DocSecurity>
  <Lines>57</Lines>
  <Paragraphs>16</Paragraphs>
  <ScaleCrop>false</ScaleCrop>
  <Company/>
  <LinksUpToDate>false</LinksUpToDate>
  <CharactersWithSpaces>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DB PLAST Green Solution</cp:lastModifiedBy>
  <cp:revision>2</cp:revision>
  <cp:lastPrinted>2026-06-30T08:27:00Z</cp:lastPrinted>
  <dcterms:created xsi:type="dcterms:W3CDTF">2026-06-30T08:28:00Z</dcterms:created>
  <dcterms:modified xsi:type="dcterms:W3CDTF">2026-06-30T08:28:00Z</dcterms:modified>
</cp:coreProperties>
</file>